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_GBK"/>
          <w:sz w:val="44"/>
          <w:szCs w:val="44"/>
        </w:rPr>
      </w:pPr>
      <w:bookmarkStart w:id="0" w:name="_GoBack"/>
      <w:bookmarkEnd w:id="0"/>
    </w:p>
    <w:p>
      <w:pPr>
        <w:spacing w:line="560" w:lineRule="exact"/>
        <w:jc w:val="center"/>
        <w:rPr>
          <w:rFonts w:eastAsia="方正小标宋_GBK"/>
          <w:sz w:val="44"/>
          <w:szCs w:val="44"/>
        </w:rPr>
      </w:pPr>
    </w:p>
    <w:p>
      <w:pPr>
        <w:spacing w:line="560" w:lineRule="exact"/>
        <w:jc w:val="center"/>
        <w:rPr>
          <w:rFonts w:eastAsia="方正小标宋_GBK"/>
          <w:sz w:val="44"/>
          <w:szCs w:val="44"/>
        </w:rPr>
      </w:pPr>
      <w:r>
        <w:rPr>
          <w:rFonts w:eastAsia="方正小标宋_GBK"/>
          <w:sz w:val="44"/>
          <w:szCs w:val="44"/>
        </w:rPr>
        <w:t>关于调整我市部分重点优抚对象</w:t>
      </w:r>
    </w:p>
    <w:p>
      <w:pPr>
        <w:spacing w:line="560" w:lineRule="exact"/>
        <w:jc w:val="center"/>
        <w:rPr>
          <w:rFonts w:eastAsia="方正小标宋_GBK"/>
          <w:sz w:val="44"/>
          <w:szCs w:val="44"/>
        </w:rPr>
      </w:pPr>
      <w:r>
        <w:rPr>
          <w:rFonts w:eastAsia="方正小标宋_GBK"/>
          <w:sz w:val="44"/>
          <w:szCs w:val="44"/>
        </w:rPr>
        <w:t>抚恤补助标准的通知</w:t>
      </w:r>
    </w:p>
    <w:p>
      <w:pPr>
        <w:spacing w:line="560" w:lineRule="exact"/>
        <w:jc w:val="center"/>
        <w:rPr>
          <w:rFonts w:eastAsia="方正小标宋_GBK"/>
          <w:sz w:val="44"/>
          <w:szCs w:val="44"/>
        </w:rPr>
      </w:pPr>
    </w:p>
    <w:p>
      <w:pPr>
        <w:spacing w:line="560" w:lineRule="exact"/>
        <w:jc w:val="center"/>
        <w:rPr>
          <w:rFonts w:hint="eastAsia" w:eastAsia="方正仿宋_GBK"/>
          <w:sz w:val="32"/>
          <w:szCs w:val="32"/>
        </w:rPr>
      </w:pPr>
      <w:r>
        <w:rPr>
          <w:rFonts w:hint="eastAsia" w:eastAsia="方正仿宋_GBK"/>
          <w:sz w:val="32"/>
          <w:szCs w:val="32"/>
        </w:rPr>
        <w:t>（</w:t>
      </w:r>
      <w:r>
        <w:rPr>
          <w:rFonts w:eastAsia="方正仿宋_GBK"/>
          <w:sz w:val="32"/>
          <w:szCs w:val="32"/>
        </w:rPr>
        <w:t>宁退役军人规〔2022〕</w:t>
      </w:r>
      <w:r>
        <w:rPr>
          <w:rFonts w:hint="eastAsia" w:eastAsia="方正仿宋_GBK"/>
          <w:sz w:val="32"/>
          <w:szCs w:val="32"/>
        </w:rPr>
        <w:t>1</w:t>
      </w:r>
      <w:r>
        <w:rPr>
          <w:rFonts w:eastAsia="方正仿宋_GBK"/>
          <w:sz w:val="32"/>
          <w:szCs w:val="32"/>
        </w:rPr>
        <w:t>号</w:t>
      </w:r>
      <w:r>
        <w:rPr>
          <w:rFonts w:hint="eastAsia" w:eastAsia="方正仿宋_GBK"/>
          <w:sz w:val="32"/>
          <w:szCs w:val="32"/>
        </w:rPr>
        <w:t>）</w:t>
      </w:r>
    </w:p>
    <w:p>
      <w:pPr>
        <w:adjustRightInd w:val="0"/>
        <w:snapToGrid w:val="0"/>
        <w:spacing w:line="560" w:lineRule="exact"/>
        <w:rPr>
          <w:rFonts w:eastAsia="仿宋_GB2312"/>
          <w:sz w:val="32"/>
        </w:rPr>
      </w:pPr>
    </w:p>
    <w:p>
      <w:pPr>
        <w:adjustRightInd w:val="0"/>
        <w:snapToGrid w:val="0"/>
        <w:spacing w:line="300" w:lineRule="auto"/>
        <w:rPr>
          <w:rFonts w:eastAsia="方正仿宋_GBK"/>
          <w:sz w:val="32"/>
          <w:szCs w:val="32"/>
        </w:rPr>
      </w:pPr>
      <w:r>
        <w:rPr>
          <w:rFonts w:eastAsia="方正仿宋_GBK"/>
          <w:sz w:val="32"/>
          <w:szCs w:val="32"/>
        </w:rPr>
        <w:t>各区退役军人事务局、财政局，江北新区卫生健康和民政局、财政局：</w:t>
      </w:r>
    </w:p>
    <w:p>
      <w:pPr>
        <w:adjustRightInd w:val="0"/>
        <w:snapToGrid w:val="0"/>
        <w:spacing w:line="300" w:lineRule="auto"/>
        <w:ind w:firstLine="630"/>
        <w:rPr>
          <w:rFonts w:eastAsia="方正仿宋_GBK"/>
          <w:sz w:val="32"/>
          <w:szCs w:val="32"/>
        </w:rPr>
      </w:pPr>
      <w:r>
        <w:rPr>
          <w:rFonts w:eastAsia="方正仿宋_GBK"/>
          <w:sz w:val="32"/>
          <w:szCs w:val="32"/>
        </w:rPr>
        <w:t>为贯彻《江苏省实施〈军人抚恤优待条例〉办法》（省政府令第96号）和《江苏省民政厅</w:t>
      </w:r>
      <w:r>
        <w:rPr>
          <w:rFonts w:hint="eastAsia" w:eastAsia="方正仿宋_GBK"/>
          <w:sz w:val="32"/>
          <w:szCs w:val="32"/>
        </w:rPr>
        <w:t xml:space="preserve"> </w:t>
      </w:r>
      <w:r>
        <w:rPr>
          <w:rFonts w:eastAsia="方正仿宋_GBK"/>
          <w:sz w:val="32"/>
          <w:szCs w:val="32"/>
        </w:rPr>
        <w:t>财政厅〈关于完善重点优抚对象抚恤补助标准动态调整机制的通知〉》（苏民财</w:t>
      </w:r>
      <w:r>
        <w:rPr>
          <w:rFonts w:eastAsia="方正仿宋_GBK"/>
          <w:color w:val="000000"/>
          <w:kern w:val="0"/>
          <w:sz w:val="32"/>
          <w:szCs w:val="32"/>
          <w:lang w:eastAsia="zh-Hans"/>
        </w:rPr>
        <w:t>〔20</w:t>
      </w:r>
      <w:r>
        <w:rPr>
          <w:rFonts w:eastAsia="方正仿宋_GBK"/>
          <w:color w:val="000000"/>
          <w:kern w:val="0"/>
          <w:sz w:val="32"/>
          <w:szCs w:val="32"/>
        </w:rPr>
        <w:t>17</w:t>
      </w:r>
      <w:r>
        <w:rPr>
          <w:rFonts w:eastAsia="方正仿宋_GBK"/>
          <w:color w:val="000000"/>
          <w:kern w:val="0"/>
          <w:sz w:val="32"/>
          <w:szCs w:val="32"/>
          <w:lang w:eastAsia="zh-Hans"/>
        </w:rPr>
        <w:t>〕</w:t>
      </w:r>
      <w:r>
        <w:rPr>
          <w:rFonts w:eastAsia="方正仿宋_GBK"/>
          <w:color w:val="000000"/>
          <w:kern w:val="0"/>
          <w:sz w:val="32"/>
          <w:szCs w:val="32"/>
        </w:rPr>
        <w:t>9</w:t>
      </w:r>
      <w:r>
        <w:rPr>
          <w:rFonts w:eastAsia="方正仿宋_GBK"/>
          <w:sz w:val="32"/>
          <w:szCs w:val="32"/>
        </w:rPr>
        <w:t>号）精神，经研究，决定调整我市部分重点优抚对象抚恤补助标准，现将有关事项通知如下：</w:t>
      </w:r>
    </w:p>
    <w:p>
      <w:pPr>
        <w:adjustRightInd w:val="0"/>
        <w:snapToGrid w:val="0"/>
        <w:spacing w:line="300" w:lineRule="auto"/>
        <w:ind w:firstLine="630"/>
        <w:rPr>
          <w:rFonts w:eastAsia="方正仿宋_GBK"/>
          <w:sz w:val="32"/>
          <w:szCs w:val="32"/>
        </w:rPr>
      </w:pPr>
      <w:r>
        <w:rPr>
          <w:rFonts w:eastAsia="方正仿宋_GBK"/>
          <w:sz w:val="32"/>
          <w:szCs w:val="32"/>
        </w:rPr>
        <w:t>一、提高无工作单位且无固定收入的残疾军人残疾抚恤标准，同时调整一至四级残疾军人和因患精神病被评定为五级至六级残疾等级的初级士官、义务兵护理费标准，调整后的标准见附件1。</w:t>
      </w:r>
    </w:p>
    <w:p>
      <w:pPr>
        <w:adjustRightInd w:val="0"/>
        <w:snapToGrid w:val="0"/>
        <w:spacing w:line="300" w:lineRule="auto"/>
        <w:ind w:firstLine="630"/>
        <w:rPr>
          <w:rFonts w:eastAsia="方正仿宋_GBK"/>
          <w:sz w:val="32"/>
          <w:szCs w:val="32"/>
        </w:rPr>
      </w:pPr>
      <w:r>
        <w:rPr>
          <w:rFonts w:eastAsia="方正仿宋_GBK"/>
          <w:sz w:val="32"/>
          <w:szCs w:val="32"/>
        </w:rPr>
        <w:t>二、提高烈士遗属、因公牺牲军人遗属、病故军人遗属定期抚恤金标准，调整后的标准见附件2。</w:t>
      </w:r>
    </w:p>
    <w:p>
      <w:pPr>
        <w:adjustRightInd w:val="0"/>
        <w:snapToGrid w:val="0"/>
        <w:spacing w:line="300" w:lineRule="auto"/>
        <w:ind w:firstLine="640" w:firstLineChars="200"/>
        <w:rPr>
          <w:rFonts w:eastAsia="方正仿宋_GBK"/>
          <w:sz w:val="32"/>
          <w:szCs w:val="32"/>
        </w:rPr>
      </w:pPr>
      <w:r>
        <w:rPr>
          <w:rFonts w:eastAsia="方正仿宋_GBK"/>
          <w:sz w:val="32"/>
          <w:szCs w:val="32"/>
        </w:rPr>
        <w:t>三、提高在乡复员军人、带病回乡退伍军人、参战参试退役人员定期定量生活补助标准，调整后的标准见附件3。</w:t>
      </w:r>
    </w:p>
    <w:p>
      <w:pPr>
        <w:widowControl/>
        <w:adjustRightInd w:val="0"/>
        <w:snapToGrid w:val="0"/>
        <w:spacing w:line="300" w:lineRule="auto"/>
        <w:ind w:firstLine="640" w:firstLineChars="200"/>
        <w:jc w:val="left"/>
        <w:rPr>
          <w:rFonts w:eastAsia="方正仿宋_GBK"/>
          <w:sz w:val="32"/>
          <w:szCs w:val="32"/>
        </w:rPr>
      </w:pPr>
      <w:r>
        <w:rPr>
          <w:rFonts w:eastAsia="方正仿宋_GBK"/>
          <w:sz w:val="32"/>
          <w:szCs w:val="32"/>
        </w:rPr>
        <w:t>以上新标准从2022年7月1日起执行，具有双重或多重身份的抚恤补助对象按就高原则享受，所需经费按原渠道解决。各区退役军人事务、财政部门要加强重点优抚对象抚恤补助专项资金的管理，加大督查力度，确保抚恤补助等资金及时、准确、足额发放。</w:t>
      </w:r>
    </w:p>
    <w:p>
      <w:pPr>
        <w:widowControl/>
        <w:adjustRightInd w:val="0"/>
        <w:snapToGrid w:val="0"/>
        <w:spacing w:line="300" w:lineRule="auto"/>
        <w:ind w:firstLine="640" w:firstLineChars="200"/>
        <w:jc w:val="left"/>
        <w:rPr>
          <w:rFonts w:eastAsia="方正仿宋_GBK"/>
          <w:sz w:val="32"/>
          <w:szCs w:val="32"/>
        </w:rPr>
      </w:pPr>
    </w:p>
    <w:p>
      <w:pPr>
        <w:widowControl/>
        <w:adjustRightInd w:val="0"/>
        <w:snapToGrid w:val="0"/>
        <w:spacing w:line="300" w:lineRule="auto"/>
        <w:ind w:firstLine="640" w:firstLineChars="200"/>
        <w:jc w:val="left"/>
        <w:rPr>
          <w:rFonts w:eastAsia="方正仿宋_GBK"/>
          <w:sz w:val="32"/>
          <w:szCs w:val="32"/>
        </w:rPr>
      </w:pPr>
      <w:r>
        <w:rPr>
          <w:rFonts w:hint="eastAsia" w:eastAsia="方正仿宋_GBK"/>
          <w:sz w:val="32"/>
          <w:szCs w:val="32"/>
        </w:rPr>
        <w:t xml:space="preserve"> </w:t>
      </w:r>
      <w:r>
        <w:rPr>
          <w:rFonts w:eastAsia="方正仿宋_GBK"/>
          <w:sz w:val="32"/>
          <w:szCs w:val="32"/>
        </w:rPr>
        <w:t xml:space="preserve">     南京市退役军人事务局           南京市财政局 </w:t>
      </w:r>
    </w:p>
    <w:p>
      <w:pPr>
        <w:widowControl/>
        <w:adjustRightInd w:val="0"/>
        <w:snapToGrid w:val="0"/>
        <w:spacing w:line="300" w:lineRule="auto"/>
        <w:ind w:firstLine="640" w:firstLineChars="200"/>
        <w:jc w:val="left"/>
        <w:rPr>
          <w:rFonts w:eastAsia="方正仿宋_GBK"/>
          <w:sz w:val="32"/>
          <w:szCs w:val="32"/>
        </w:rPr>
      </w:pPr>
    </w:p>
    <w:p>
      <w:pPr>
        <w:widowControl/>
        <w:adjustRightInd w:val="0"/>
        <w:snapToGrid w:val="0"/>
        <w:spacing w:line="300" w:lineRule="auto"/>
        <w:ind w:firstLine="640" w:firstLineChars="200"/>
        <w:jc w:val="left"/>
        <w:rPr>
          <w:rFonts w:eastAsia="方正仿宋_GBK"/>
          <w:sz w:val="32"/>
          <w:szCs w:val="32"/>
        </w:rPr>
      </w:pPr>
      <w:r>
        <w:rPr>
          <w:rFonts w:eastAsia="方正仿宋_GBK"/>
          <w:sz w:val="32"/>
          <w:szCs w:val="32"/>
        </w:rPr>
        <w:t xml:space="preserve">                                 2022年</w:t>
      </w:r>
      <w:r>
        <w:rPr>
          <w:rFonts w:hint="eastAsia" w:eastAsia="方正仿宋_GBK"/>
          <w:sz w:val="32"/>
          <w:szCs w:val="32"/>
        </w:rPr>
        <w:t>7</w:t>
      </w:r>
      <w:r>
        <w:rPr>
          <w:rFonts w:eastAsia="方正仿宋_GBK"/>
          <w:sz w:val="32"/>
          <w:szCs w:val="32"/>
        </w:rPr>
        <w:t>月</w:t>
      </w:r>
      <w:r>
        <w:rPr>
          <w:rFonts w:hint="eastAsia" w:eastAsia="方正仿宋_GBK"/>
          <w:sz w:val="32"/>
          <w:szCs w:val="32"/>
        </w:rPr>
        <w:t>6</w:t>
      </w:r>
      <w:r>
        <w:rPr>
          <w:rFonts w:eastAsia="方正仿宋_GBK"/>
          <w:sz w:val="32"/>
          <w:szCs w:val="32"/>
        </w:rPr>
        <w:t>日</w:t>
      </w:r>
    </w:p>
    <w:p>
      <w:pPr>
        <w:widowControl/>
        <w:adjustRightInd w:val="0"/>
        <w:snapToGrid w:val="0"/>
        <w:spacing w:line="300" w:lineRule="auto"/>
        <w:ind w:firstLine="640" w:firstLineChars="200"/>
        <w:jc w:val="left"/>
        <w:rPr>
          <w:rFonts w:eastAsia="方正仿宋_GBK"/>
          <w:sz w:val="32"/>
          <w:szCs w:val="32"/>
        </w:rPr>
      </w:pPr>
    </w:p>
    <w:p>
      <w:pPr>
        <w:widowControl/>
        <w:adjustRightInd w:val="0"/>
        <w:snapToGrid w:val="0"/>
        <w:spacing w:line="300" w:lineRule="auto"/>
        <w:ind w:firstLine="640" w:firstLineChars="200"/>
        <w:jc w:val="left"/>
        <w:rPr>
          <w:rFonts w:eastAsia="方正仿宋_GBK"/>
          <w:sz w:val="32"/>
          <w:szCs w:val="32"/>
        </w:rPr>
      </w:pPr>
    </w:p>
    <w:p>
      <w:pPr>
        <w:widowControl/>
        <w:adjustRightInd w:val="0"/>
        <w:snapToGrid w:val="0"/>
        <w:spacing w:line="540" w:lineRule="exact"/>
        <w:ind w:firstLine="640" w:firstLineChars="200"/>
        <w:jc w:val="left"/>
        <w:rPr>
          <w:rFonts w:eastAsia="方正仿宋_GBK"/>
          <w:sz w:val="32"/>
          <w:szCs w:val="32"/>
        </w:rPr>
      </w:pPr>
    </w:p>
    <w:p>
      <w:pPr>
        <w:widowControl/>
        <w:adjustRightInd w:val="0"/>
        <w:snapToGrid w:val="0"/>
        <w:spacing w:line="540" w:lineRule="exact"/>
        <w:ind w:firstLine="640" w:firstLineChars="200"/>
        <w:jc w:val="left"/>
        <w:rPr>
          <w:rFonts w:eastAsia="方正仿宋_GBK"/>
          <w:sz w:val="32"/>
          <w:szCs w:val="32"/>
        </w:rPr>
      </w:pPr>
    </w:p>
    <w:p>
      <w:pPr>
        <w:widowControl/>
        <w:adjustRightInd w:val="0"/>
        <w:snapToGrid w:val="0"/>
        <w:spacing w:line="540" w:lineRule="exact"/>
        <w:ind w:firstLine="640" w:firstLineChars="200"/>
        <w:jc w:val="left"/>
        <w:rPr>
          <w:rFonts w:eastAsia="方正仿宋_GBK"/>
          <w:sz w:val="32"/>
          <w:szCs w:val="32"/>
        </w:rPr>
      </w:pPr>
    </w:p>
    <w:p>
      <w:pPr>
        <w:widowControl/>
        <w:adjustRightInd w:val="0"/>
        <w:snapToGrid w:val="0"/>
        <w:spacing w:line="540" w:lineRule="exact"/>
        <w:ind w:firstLine="640" w:firstLineChars="200"/>
        <w:jc w:val="left"/>
        <w:rPr>
          <w:rFonts w:eastAsia="方正仿宋_GBK"/>
          <w:sz w:val="32"/>
          <w:szCs w:val="32"/>
        </w:rPr>
      </w:pPr>
    </w:p>
    <w:p>
      <w:pPr>
        <w:widowControl/>
        <w:adjustRightInd w:val="0"/>
        <w:snapToGrid w:val="0"/>
        <w:spacing w:line="540" w:lineRule="exact"/>
        <w:ind w:firstLine="640" w:firstLineChars="200"/>
        <w:jc w:val="left"/>
        <w:rPr>
          <w:rFonts w:eastAsia="方正仿宋_GBK"/>
          <w:sz w:val="32"/>
          <w:szCs w:val="32"/>
        </w:rPr>
      </w:pPr>
    </w:p>
    <w:p>
      <w:pPr>
        <w:widowControl/>
        <w:adjustRightInd w:val="0"/>
        <w:snapToGrid w:val="0"/>
        <w:spacing w:line="540" w:lineRule="exact"/>
        <w:ind w:firstLine="640" w:firstLineChars="200"/>
        <w:jc w:val="left"/>
        <w:rPr>
          <w:rFonts w:eastAsia="方正仿宋_GBK"/>
          <w:sz w:val="32"/>
          <w:szCs w:val="32"/>
        </w:rPr>
      </w:pPr>
    </w:p>
    <w:p>
      <w:pPr>
        <w:widowControl/>
        <w:adjustRightInd w:val="0"/>
        <w:snapToGrid w:val="0"/>
        <w:spacing w:line="540" w:lineRule="exact"/>
        <w:ind w:firstLine="640" w:firstLineChars="200"/>
        <w:jc w:val="center"/>
        <w:rPr>
          <w:rFonts w:eastAsia="方正仿宋_GBK"/>
          <w:sz w:val="32"/>
          <w:szCs w:val="32"/>
        </w:rPr>
      </w:pPr>
    </w:p>
    <w:p>
      <w:pPr>
        <w:adjustRightInd w:val="0"/>
        <w:snapToGrid w:val="0"/>
        <w:spacing w:line="300" w:lineRule="auto"/>
        <w:rPr>
          <w:rFonts w:eastAsia="方正仿宋_GBK"/>
          <w:sz w:val="32"/>
          <w:szCs w:val="22"/>
        </w:rPr>
      </w:pPr>
    </w:p>
    <w:p>
      <w:pPr>
        <w:adjustRightInd w:val="0"/>
        <w:snapToGrid w:val="0"/>
        <w:spacing w:line="300" w:lineRule="auto"/>
        <w:rPr>
          <w:rFonts w:eastAsia="方正仿宋_GBK"/>
          <w:sz w:val="32"/>
          <w:szCs w:val="22"/>
        </w:rPr>
      </w:pPr>
    </w:p>
    <w:p>
      <w:pPr>
        <w:adjustRightInd w:val="0"/>
        <w:snapToGrid w:val="0"/>
        <w:spacing w:line="300" w:lineRule="auto"/>
        <w:rPr>
          <w:rFonts w:eastAsia="方正仿宋_GBK"/>
          <w:sz w:val="32"/>
          <w:szCs w:val="22"/>
        </w:rPr>
      </w:pPr>
    </w:p>
    <w:p>
      <w:pPr>
        <w:adjustRightInd w:val="0"/>
        <w:snapToGrid w:val="0"/>
        <w:spacing w:line="300" w:lineRule="auto"/>
        <w:rPr>
          <w:rFonts w:eastAsia="方正仿宋_GBK"/>
          <w:sz w:val="32"/>
          <w:szCs w:val="22"/>
        </w:rPr>
      </w:pPr>
    </w:p>
    <w:p>
      <w:pPr>
        <w:adjustRightInd w:val="0"/>
        <w:snapToGrid w:val="0"/>
        <w:spacing w:line="300" w:lineRule="auto"/>
        <w:rPr>
          <w:rFonts w:eastAsia="方正仿宋_GBK"/>
          <w:sz w:val="32"/>
          <w:szCs w:val="22"/>
        </w:rPr>
      </w:pPr>
    </w:p>
    <w:p>
      <w:pPr>
        <w:adjustRightInd w:val="0"/>
        <w:snapToGrid w:val="0"/>
        <w:spacing w:line="300" w:lineRule="auto"/>
        <w:rPr>
          <w:rFonts w:eastAsia="方正仿宋_GBK"/>
          <w:sz w:val="32"/>
          <w:szCs w:val="22"/>
        </w:rPr>
      </w:pPr>
    </w:p>
    <w:p>
      <w:pPr>
        <w:adjustRightInd w:val="0"/>
        <w:snapToGrid w:val="0"/>
        <w:spacing w:line="300" w:lineRule="auto"/>
        <w:rPr>
          <w:rFonts w:eastAsia="方正仿宋_GBK"/>
          <w:sz w:val="32"/>
          <w:szCs w:val="22"/>
        </w:rPr>
      </w:pPr>
    </w:p>
    <w:p>
      <w:pPr>
        <w:adjustRightInd w:val="0"/>
        <w:snapToGrid w:val="0"/>
        <w:spacing w:line="300" w:lineRule="auto"/>
        <w:rPr>
          <w:rFonts w:eastAsia="方正仿宋_GBK"/>
          <w:sz w:val="32"/>
          <w:szCs w:val="22"/>
        </w:rPr>
      </w:pPr>
    </w:p>
    <w:p>
      <w:pPr>
        <w:adjustRightInd w:val="0"/>
        <w:snapToGrid w:val="0"/>
        <w:spacing w:line="300" w:lineRule="auto"/>
        <w:rPr>
          <w:rFonts w:eastAsia="方正仿宋_GBK"/>
          <w:sz w:val="32"/>
          <w:szCs w:val="22"/>
        </w:rPr>
      </w:pPr>
    </w:p>
    <w:p>
      <w:pPr>
        <w:adjustRightInd w:val="0"/>
        <w:snapToGrid w:val="0"/>
        <w:spacing w:line="300" w:lineRule="auto"/>
        <w:rPr>
          <w:rFonts w:eastAsia="方正仿宋_GBK"/>
          <w:sz w:val="32"/>
          <w:szCs w:val="22"/>
        </w:rPr>
      </w:pPr>
    </w:p>
    <w:p>
      <w:pPr>
        <w:adjustRightInd w:val="0"/>
        <w:snapToGrid w:val="0"/>
        <w:spacing w:line="300" w:lineRule="auto"/>
        <w:rPr>
          <w:rFonts w:eastAsia="方正仿宋_GBK"/>
          <w:sz w:val="32"/>
          <w:szCs w:val="22"/>
        </w:rPr>
      </w:pPr>
    </w:p>
    <w:p>
      <w:pPr>
        <w:adjustRightInd w:val="0"/>
        <w:snapToGrid w:val="0"/>
        <w:spacing w:line="300" w:lineRule="auto"/>
        <w:rPr>
          <w:rFonts w:eastAsia="方正仿宋_GBK"/>
          <w:sz w:val="32"/>
          <w:szCs w:val="22"/>
        </w:rPr>
      </w:pPr>
    </w:p>
    <w:p>
      <w:pPr>
        <w:adjustRightInd w:val="0"/>
        <w:snapToGrid w:val="0"/>
        <w:spacing w:line="300" w:lineRule="auto"/>
        <w:rPr>
          <w:rFonts w:eastAsia="方正仿宋_GBK"/>
          <w:sz w:val="32"/>
          <w:szCs w:val="22"/>
        </w:rPr>
      </w:pPr>
    </w:p>
    <w:p>
      <w:pPr>
        <w:adjustRightInd w:val="0"/>
        <w:snapToGrid w:val="0"/>
        <w:spacing w:line="300" w:lineRule="auto"/>
        <w:rPr>
          <w:lang/>
        </w:rPr>
      </w:pPr>
      <w:r>
        <w:rPr>
          <w:lang/>
        </w:rPr>
        <w:drawing>
          <wp:inline distT="0" distB="0" distL="114300" distR="114300">
            <wp:extent cx="5834380" cy="7867650"/>
            <wp:effectExtent l="0" t="0" r="254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834380" cy="7867650"/>
                    </a:xfrm>
                    <a:prstGeom prst="rect">
                      <a:avLst/>
                    </a:prstGeom>
                    <a:noFill/>
                    <a:ln>
                      <a:noFill/>
                    </a:ln>
                  </pic:spPr>
                </pic:pic>
              </a:graphicData>
            </a:graphic>
          </wp:inline>
        </w:drawing>
      </w:r>
    </w:p>
    <w:p>
      <w:pPr>
        <w:adjustRightInd w:val="0"/>
        <w:snapToGrid w:val="0"/>
        <w:spacing w:line="300" w:lineRule="auto"/>
        <w:rPr>
          <w:lang/>
        </w:rPr>
      </w:pPr>
    </w:p>
    <w:p>
      <w:pPr>
        <w:adjustRightInd w:val="0"/>
        <w:snapToGrid w:val="0"/>
        <w:spacing w:line="300" w:lineRule="auto"/>
        <w:rPr>
          <w:lang/>
        </w:rPr>
      </w:pPr>
    </w:p>
    <w:p>
      <w:pPr>
        <w:adjustRightInd w:val="0"/>
        <w:snapToGrid w:val="0"/>
        <w:spacing w:line="300" w:lineRule="auto"/>
        <w:rPr>
          <w:lang/>
        </w:rPr>
      </w:pPr>
    </w:p>
    <w:p>
      <w:pPr>
        <w:adjustRightInd w:val="0"/>
        <w:snapToGrid w:val="0"/>
        <w:spacing w:line="300" w:lineRule="auto"/>
        <w:rPr>
          <w:lang/>
        </w:rPr>
      </w:pPr>
    </w:p>
    <w:p>
      <w:pPr>
        <w:adjustRightInd w:val="0"/>
        <w:snapToGrid w:val="0"/>
        <w:spacing w:line="300" w:lineRule="auto"/>
        <w:rPr>
          <w:lang/>
        </w:rPr>
      </w:pPr>
    </w:p>
    <w:p>
      <w:pPr>
        <w:adjustRightInd w:val="0"/>
        <w:snapToGrid w:val="0"/>
        <w:spacing w:line="300" w:lineRule="auto"/>
        <w:rPr>
          <w:rFonts w:eastAsia="方正仿宋_GBK"/>
          <w:sz w:val="32"/>
          <w:szCs w:val="22"/>
        </w:rPr>
        <w:sectPr>
          <w:footerReference r:id="rId3" w:type="default"/>
          <w:pgSz w:w="11906" w:h="16838"/>
          <w:pgMar w:top="1418" w:right="1361" w:bottom="1021" w:left="1361" w:header="851" w:footer="992" w:gutter="0"/>
          <w:cols w:space="720" w:num="1"/>
          <w:docGrid w:linePitch="312" w:charSpace="0"/>
        </w:sectPr>
      </w:pPr>
    </w:p>
    <w:p>
      <w:pPr>
        <w:adjustRightInd w:val="0"/>
        <w:snapToGrid w:val="0"/>
        <w:spacing w:line="300" w:lineRule="auto"/>
        <w:rPr>
          <w:rFonts w:eastAsia="方正仿宋_GBK"/>
          <w:sz w:val="32"/>
          <w:szCs w:val="22"/>
        </w:rPr>
      </w:pPr>
    </w:p>
    <w:p>
      <w:pPr>
        <w:adjustRightInd w:val="0"/>
        <w:snapToGrid w:val="0"/>
        <w:spacing w:line="300" w:lineRule="auto"/>
        <w:rPr>
          <w:rFonts w:eastAsia="方正仿宋_GBK"/>
          <w:sz w:val="32"/>
          <w:szCs w:val="22"/>
        </w:rPr>
      </w:pPr>
    </w:p>
    <w:p>
      <w:pPr>
        <w:adjustRightInd w:val="0"/>
        <w:snapToGrid w:val="0"/>
        <w:spacing w:line="300" w:lineRule="auto"/>
        <w:rPr>
          <w:rFonts w:eastAsia="方正仿宋_GBK"/>
          <w:sz w:val="32"/>
          <w:szCs w:val="22"/>
        </w:rPr>
      </w:pPr>
    </w:p>
    <w:p>
      <w:pPr>
        <w:adjustRightInd w:val="0"/>
        <w:snapToGrid w:val="0"/>
        <w:spacing w:line="300" w:lineRule="auto"/>
        <w:rPr>
          <w:lang/>
        </w:rPr>
      </w:pPr>
      <w:r>
        <w:rPr>
          <w:lang/>
        </w:rPr>
        <w:drawing>
          <wp:inline distT="0" distB="0" distL="114300" distR="114300">
            <wp:extent cx="9141460" cy="4579620"/>
            <wp:effectExtent l="0" t="0" r="254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9141460" cy="4579620"/>
                    </a:xfrm>
                    <a:prstGeom prst="rect">
                      <a:avLst/>
                    </a:prstGeom>
                    <a:noFill/>
                    <a:ln>
                      <a:noFill/>
                    </a:ln>
                  </pic:spPr>
                </pic:pic>
              </a:graphicData>
            </a:graphic>
          </wp:inline>
        </w:drawing>
      </w:r>
    </w:p>
    <w:p>
      <w:pPr>
        <w:adjustRightInd w:val="0"/>
        <w:snapToGrid w:val="0"/>
        <w:spacing w:line="300" w:lineRule="auto"/>
        <w:rPr>
          <w:lang/>
        </w:rPr>
      </w:pPr>
    </w:p>
    <w:p>
      <w:pPr>
        <w:adjustRightInd w:val="0"/>
        <w:snapToGrid w:val="0"/>
        <w:spacing w:line="300" w:lineRule="auto"/>
        <w:rPr>
          <w:rFonts w:hint="eastAsia" w:eastAsia="方正仿宋_GBK"/>
          <w:sz w:val="32"/>
          <w:szCs w:val="22"/>
        </w:rPr>
      </w:pPr>
      <w:r>
        <w:rPr>
          <w:lang/>
        </w:rPr>
        <w:drawing>
          <wp:inline distT="0" distB="0" distL="114300" distR="114300">
            <wp:extent cx="9144635" cy="4966335"/>
            <wp:effectExtent l="0" t="0" r="14605"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9144635" cy="4966335"/>
                    </a:xfrm>
                    <a:prstGeom prst="rect">
                      <a:avLst/>
                    </a:prstGeom>
                    <a:noFill/>
                    <a:ln>
                      <a:noFill/>
                    </a:ln>
                  </pic:spPr>
                </pic:pic>
              </a:graphicData>
            </a:graphic>
          </wp:inline>
        </w:drawing>
      </w:r>
    </w:p>
    <w:sectPr>
      <w:pgSz w:w="16838" w:h="11906" w:orient="landscape"/>
      <w:pgMar w:top="1361" w:right="1418" w:bottom="1361" w:left="102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embedRegular r:id="rId1" w:fontKey="{0E468E0E-2D08-43A1-AB83-DDABCF2B4392}"/>
  </w:font>
  <w:font w:name="黑体GB2312">
    <w:altName w:val="黑体"/>
    <w:panose1 w:val="00000000000000000000"/>
    <w:charset w:val="00"/>
    <w:family w:val="auto"/>
    <w:pitch w:val="default"/>
    <w:sig w:usb0="00000000" w:usb1="00000000" w:usb2="00000000" w:usb3="00000000" w:csb0="00000000" w:csb1="00000000"/>
  </w:font>
  <w:font w:name="楷体GB2312">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1" w:usb1="080E0000" w:usb2="00000010" w:usb3="00000000" w:csb0="00040000" w:csb1="00000000"/>
    <w:embedRegular r:id="rId2" w:fontKey="{065492F7-317C-4CFE-BA32-51E4E2BB73B2}"/>
  </w:font>
  <w:font w:name="方正仿宋_GBK">
    <w:panose1 w:val="02000000000000000000"/>
    <w:charset w:val="86"/>
    <w:family w:val="script"/>
    <w:pitch w:val="default"/>
    <w:sig w:usb0="00000001" w:usb1="080E0000" w:usb2="00000000" w:usb3="00000000" w:csb0="00040000" w:csb1="00000000"/>
    <w:embedRegular r:id="rId3" w:fontKey="{DF6B4B28-4952-434B-AFBC-6F543D4B93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sz w:val="28"/>
        <w:szCs w:val="28"/>
      </w:rPr>
      <w:t>—</w:t>
    </w:r>
    <w:r>
      <w:rPr>
        <w:rFonts w:hint="eastAsia"/>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lang/>
      </w:rPr>
      <w:t>1</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0D"/>
    <w:rsid w:val="00000CBC"/>
    <w:rsid w:val="00020EF0"/>
    <w:rsid w:val="000313E8"/>
    <w:rsid w:val="000607CA"/>
    <w:rsid w:val="00075B61"/>
    <w:rsid w:val="00081AB7"/>
    <w:rsid w:val="000A317E"/>
    <w:rsid w:val="000B7DD9"/>
    <w:rsid w:val="000C063C"/>
    <w:rsid w:val="000C6B4F"/>
    <w:rsid w:val="000E463E"/>
    <w:rsid w:val="0011648A"/>
    <w:rsid w:val="0012017A"/>
    <w:rsid w:val="00160A1A"/>
    <w:rsid w:val="00161AC3"/>
    <w:rsid w:val="00182E47"/>
    <w:rsid w:val="00191A0D"/>
    <w:rsid w:val="00191A5C"/>
    <w:rsid w:val="001A568D"/>
    <w:rsid w:val="001B0570"/>
    <w:rsid w:val="001B0806"/>
    <w:rsid w:val="001C5C5B"/>
    <w:rsid w:val="001D1881"/>
    <w:rsid w:val="001E6B0D"/>
    <w:rsid w:val="00204C43"/>
    <w:rsid w:val="00216A39"/>
    <w:rsid w:val="002241E8"/>
    <w:rsid w:val="0023120D"/>
    <w:rsid w:val="00237A1A"/>
    <w:rsid w:val="00253659"/>
    <w:rsid w:val="00265821"/>
    <w:rsid w:val="00275A23"/>
    <w:rsid w:val="00285B78"/>
    <w:rsid w:val="002C56B3"/>
    <w:rsid w:val="002E7E25"/>
    <w:rsid w:val="003025DF"/>
    <w:rsid w:val="00305B17"/>
    <w:rsid w:val="00327A90"/>
    <w:rsid w:val="00331EC5"/>
    <w:rsid w:val="00380B50"/>
    <w:rsid w:val="003D5120"/>
    <w:rsid w:val="003F4971"/>
    <w:rsid w:val="003F4D46"/>
    <w:rsid w:val="00407C9E"/>
    <w:rsid w:val="004208B6"/>
    <w:rsid w:val="00421F38"/>
    <w:rsid w:val="004267BB"/>
    <w:rsid w:val="00442287"/>
    <w:rsid w:val="00446797"/>
    <w:rsid w:val="004A2515"/>
    <w:rsid w:val="004C5856"/>
    <w:rsid w:val="004C5970"/>
    <w:rsid w:val="004D0C4A"/>
    <w:rsid w:val="005135C4"/>
    <w:rsid w:val="00534E61"/>
    <w:rsid w:val="005435AA"/>
    <w:rsid w:val="005A2ACF"/>
    <w:rsid w:val="005A535C"/>
    <w:rsid w:val="005C45ED"/>
    <w:rsid w:val="005E5379"/>
    <w:rsid w:val="00605D70"/>
    <w:rsid w:val="00614C55"/>
    <w:rsid w:val="00634E6C"/>
    <w:rsid w:val="006515C2"/>
    <w:rsid w:val="00685843"/>
    <w:rsid w:val="00692EC3"/>
    <w:rsid w:val="006C1DB8"/>
    <w:rsid w:val="006F71D3"/>
    <w:rsid w:val="007036DC"/>
    <w:rsid w:val="00707C5F"/>
    <w:rsid w:val="0072000B"/>
    <w:rsid w:val="00782033"/>
    <w:rsid w:val="00816F53"/>
    <w:rsid w:val="0082258F"/>
    <w:rsid w:val="008419B8"/>
    <w:rsid w:val="0084591D"/>
    <w:rsid w:val="008562BE"/>
    <w:rsid w:val="00870973"/>
    <w:rsid w:val="00877D2A"/>
    <w:rsid w:val="008951DA"/>
    <w:rsid w:val="008A5E56"/>
    <w:rsid w:val="008B0C86"/>
    <w:rsid w:val="008B42F7"/>
    <w:rsid w:val="008C5937"/>
    <w:rsid w:val="008D33C7"/>
    <w:rsid w:val="00900FAE"/>
    <w:rsid w:val="009146F0"/>
    <w:rsid w:val="00927799"/>
    <w:rsid w:val="00945040"/>
    <w:rsid w:val="0095731A"/>
    <w:rsid w:val="00972062"/>
    <w:rsid w:val="00982AE3"/>
    <w:rsid w:val="00996976"/>
    <w:rsid w:val="009D43EC"/>
    <w:rsid w:val="009D47AB"/>
    <w:rsid w:val="009D6BE3"/>
    <w:rsid w:val="009E2E75"/>
    <w:rsid w:val="00A20F06"/>
    <w:rsid w:val="00A37183"/>
    <w:rsid w:val="00A66577"/>
    <w:rsid w:val="00A76B2B"/>
    <w:rsid w:val="00A834C9"/>
    <w:rsid w:val="00AC0242"/>
    <w:rsid w:val="00AF5983"/>
    <w:rsid w:val="00B356BF"/>
    <w:rsid w:val="00B47DAA"/>
    <w:rsid w:val="00B85B38"/>
    <w:rsid w:val="00B919DF"/>
    <w:rsid w:val="00B94BAB"/>
    <w:rsid w:val="00B9662F"/>
    <w:rsid w:val="00BA737B"/>
    <w:rsid w:val="00BC1E44"/>
    <w:rsid w:val="00BD78F0"/>
    <w:rsid w:val="00BF10AB"/>
    <w:rsid w:val="00C224F9"/>
    <w:rsid w:val="00C441E9"/>
    <w:rsid w:val="00C840F0"/>
    <w:rsid w:val="00C9231A"/>
    <w:rsid w:val="00CB30E5"/>
    <w:rsid w:val="00CC09C3"/>
    <w:rsid w:val="00D03172"/>
    <w:rsid w:val="00D11CF3"/>
    <w:rsid w:val="00D151AD"/>
    <w:rsid w:val="00D246B6"/>
    <w:rsid w:val="00D33006"/>
    <w:rsid w:val="00D60206"/>
    <w:rsid w:val="00D7346C"/>
    <w:rsid w:val="00DB699C"/>
    <w:rsid w:val="00DC6113"/>
    <w:rsid w:val="00DC6948"/>
    <w:rsid w:val="00DE380A"/>
    <w:rsid w:val="00DE6325"/>
    <w:rsid w:val="00E44ADC"/>
    <w:rsid w:val="00EA18D2"/>
    <w:rsid w:val="00EE4BD9"/>
    <w:rsid w:val="00EF4DA6"/>
    <w:rsid w:val="00F14470"/>
    <w:rsid w:val="00F35973"/>
    <w:rsid w:val="00F36A9F"/>
    <w:rsid w:val="00F408C5"/>
    <w:rsid w:val="00F43C7F"/>
    <w:rsid w:val="00F8592C"/>
    <w:rsid w:val="00F86B89"/>
    <w:rsid w:val="00FA590C"/>
    <w:rsid w:val="00FD1331"/>
    <w:rsid w:val="00FF770D"/>
    <w:rsid w:val="33AD6C58"/>
    <w:rsid w:val="4AF75E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ate"/>
    <w:basedOn w:val="1"/>
    <w:next w:val="1"/>
    <w:link w:val="8"/>
    <w:uiPriority w:val="0"/>
    <w:pPr>
      <w:ind w:leftChars="2500"/>
    </w:pPr>
    <w:rPr>
      <w:rFonts w:ascii="仿宋_GB2312" w:eastAsia="仿宋_GB2312"/>
      <w:sz w:val="32"/>
    </w:rPr>
  </w:style>
  <w:style w:type="paragraph" w:styleId="3">
    <w:name w:val="Balloon Text"/>
    <w:basedOn w:val="1"/>
    <w:link w:val="9"/>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customStyle="1" w:styleId="8">
    <w:name w:val="日期 Char"/>
    <w:link w:val="2"/>
    <w:uiPriority w:val="0"/>
    <w:rPr>
      <w:rFonts w:ascii="仿宋_GB2312" w:eastAsia="仿宋_GB2312"/>
      <w:kern w:val="2"/>
      <w:sz w:val="32"/>
      <w:szCs w:val="24"/>
    </w:rPr>
  </w:style>
  <w:style w:type="character" w:customStyle="1" w:styleId="9">
    <w:name w:val="批注框文本 Char"/>
    <w:link w:val="3"/>
    <w:uiPriority w:val="0"/>
    <w:rPr>
      <w:kern w:val="2"/>
      <w:sz w:val="18"/>
      <w:szCs w:val="18"/>
    </w:rPr>
  </w:style>
  <w:style w:type="character" w:customStyle="1" w:styleId="10">
    <w:name w:val="页脚 Char"/>
    <w:link w:val="4"/>
    <w:uiPriority w:val="99"/>
    <w:rPr>
      <w:kern w:val="2"/>
      <w:sz w:val="18"/>
      <w:szCs w:val="18"/>
    </w:rPr>
  </w:style>
  <w:style w:type="character" w:customStyle="1" w:styleId="11">
    <w:name w:val="页眉 Char"/>
    <w:link w:val="5"/>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5</Pages>
  <Words>497</Words>
  <Characters>510</Characters>
  <Lines>4</Lines>
  <Paragraphs>1</Paragraphs>
  <TotalTime>0</TotalTime>
  <ScaleCrop>false</ScaleCrop>
  <LinksUpToDate>false</LinksUpToDate>
  <CharactersWithSpaces>562</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2022-07-25T03:27:00Z</dcterms:created>
  <dc:creator>null</dc:creator>
  <cp:lastModifiedBy>孤山不孤</cp:lastModifiedBy>
  <cp:lastPrinted>2021-07-21T07:05:00Z</cp:lastPrinted>
  <dcterms:modified xsi:type="dcterms:W3CDTF">2022-08-01T06:19:37Z</dcterms:modified>
  <dc:title>南京市退役军人事务局文件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9A8A7138D4D245F4B78808B48F02D88D</vt:lpwstr>
  </property>
</Properties>
</file>